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both"/>
        <w:rPr>
          <w:rFonts w:hint="eastAsia"/>
          <w:b/>
          <w:color w:val="FF0000"/>
          <w:sz w:val="44"/>
          <w:u w:val="single"/>
        </w:rPr>
      </w:pPr>
    </w:p>
    <w:p>
      <w:pPr>
        <w:spacing w:line="360" w:lineRule="exact"/>
        <w:jc w:val="center"/>
        <w:rPr>
          <w:rFonts w:hint="eastAsia" w:ascii="宋体" w:hAnsi="宋体" w:eastAsia="宋体" w:cs="Times New Roman"/>
          <w:b/>
          <w:color w:val="000000"/>
          <w:sz w:val="32"/>
          <w:szCs w:val="32"/>
          <w:highlight w:val="none"/>
        </w:rPr>
      </w:pPr>
      <w:r>
        <w:rPr>
          <w:rFonts w:hint="eastAsia" w:ascii="宋体" w:hAnsi="宋体" w:eastAsia="宋体" w:cs="Times New Roman"/>
          <w:b/>
          <w:color w:val="000000"/>
          <w:sz w:val="32"/>
          <w:szCs w:val="32"/>
          <w:highlight w:val="none"/>
        </w:rPr>
        <w:t>血栓弹力图仪参数</w:t>
      </w:r>
    </w:p>
    <w:p>
      <w:pPr>
        <w:spacing w:line="360" w:lineRule="exact"/>
        <w:jc w:val="center"/>
        <w:rPr>
          <w:rFonts w:hint="eastAsia" w:ascii="宋体" w:hAnsi="宋体" w:eastAsia="宋体" w:cs="Times New Roman"/>
          <w:b/>
          <w:color w:val="000000"/>
          <w:sz w:val="30"/>
          <w:szCs w:val="30"/>
          <w:highlight w:val="none"/>
        </w:rPr>
      </w:pPr>
    </w:p>
    <w:p>
      <w:pPr>
        <w:spacing w:line="360" w:lineRule="exact"/>
        <w:jc w:val="center"/>
        <w:rPr>
          <w:rFonts w:hint="eastAsia" w:ascii="宋体" w:hAnsi="宋体" w:eastAsia="宋体" w:cs="Times New Roman"/>
          <w:b/>
          <w:color w:val="000000"/>
          <w:sz w:val="30"/>
          <w:szCs w:val="30"/>
          <w:highlight w:val="none"/>
        </w:rPr>
      </w:pPr>
    </w:p>
    <w:tbl>
      <w:tblPr>
        <w:tblStyle w:val="4"/>
        <w:tblW w:w="10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6"/>
        <w:gridCol w:w="2491"/>
        <w:gridCol w:w="7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blHeader/>
          <w:jc w:val="center"/>
        </w:trPr>
        <w:tc>
          <w:tcPr>
            <w:tcW w:w="63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
                <w:color w:val="auto"/>
                <w:sz w:val="28"/>
                <w:szCs w:val="28"/>
                <w:highlight w:val="none"/>
              </w:rPr>
            </w:pPr>
            <w:r>
              <w:rPr>
                <w:rFonts w:hint="eastAsia" w:ascii="宋体" w:hAnsi="宋体"/>
                <w:b/>
                <w:color w:val="auto"/>
                <w:sz w:val="28"/>
                <w:szCs w:val="28"/>
                <w:highlight w:val="none"/>
              </w:rPr>
              <w:t>序号</w:t>
            </w:r>
          </w:p>
        </w:tc>
        <w:tc>
          <w:tcPr>
            <w:tcW w:w="2491"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b/>
                <w:color w:val="auto"/>
                <w:sz w:val="28"/>
                <w:szCs w:val="28"/>
                <w:highlight w:val="none"/>
              </w:rPr>
            </w:pPr>
            <w:r>
              <w:rPr>
                <w:rFonts w:hint="eastAsia" w:ascii="宋体" w:hAnsi="宋体"/>
                <w:b/>
                <w:color w:val="auto"/>
                <w:sz w:val="28"/>
                <w:szCs w:val="28"/>
                <w:highlight w:val="none"/>
              </w:rPr>
              <w:t>技术和性能参数名称</w:t>
            </w:r>
          </w:p>
        </w:tc>
        <w:tc>
          <w:tcPr>
            <w:tcW w:w="7593" w:type="dxa"/>
            <w:tcBorders>
              <w:top w:val="single" w:color="auto" w:sz="4" w:space="0"/>
              <w:left w:val="single" w:color="auto" w:sz="4" w:space="0"/>
              <w:bottom w:val="single" w:color="auto" w:sz="4" w:space="0"/>
              <w:right w:val="single" w:color="auto" w:sz="4" w:space="0"/>
            </w:tcBorders>
            <w:vAlign w:val="center"/>
          </w:tcPr>
          <w:p>
            <w:pPr>
              <w:spacing w:line="360" w:lineRule="exact"/>
              <w:ind w:left="-1063" w:leftChars="-506" w:firstLine="1245" w:firstLineChars="443"/>
              <w:jc w:val="center"/>
              <w:rPr>
                <w:rFonts w:ascii="宋体" w:hAnsi="宋体"/>
                <w:b/>
                <w:color w:val="auto"/>
                <w:sz w:val="28"/>
                <w:szCs w:val="28"/>
                <w:highlight w:val="none"/>
              </w:rPr>
            </w:pPr>
            <w:r>
              <w:rPr>
                <w:rFonts w:hint="eastAsia" w:ascii="宋体" w:hAnsi="宋体"/>
                <w:b/>
                <w:color w:val="auto"/>
                <w:sz w:val="28"/>
                <w:szCs w:val="28"/>
                <w:highlight w:val="none"/>
              </w:rPr>
              <w:t>技术和性能参数要求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1"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1</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功能</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color w:val="auto"/>
                <w:sz w:val="21"/>
                <w:szCs w:val="21"/>
                <w:highlight w:val="none"/>
              </w:rPr>
            </w:pPr>
            <w:r>
              <w:rPr>
                <w:rFonts w:hint="eastAsia" w:ascii="宋体" w:hAnsi="宋体" w:cs="宋体"/>
                <w:color w:val="auto"/>
                <w:sz w:val="21"/>
                <w:szCs w:val="21"/>
                <w:highlight w:val="none"/>
              </w:rPr>
              <w:t>全血凝血过程动态监测（普通杯检测），主要用于术前和术中患者凝血功能的变化监测（区分正常、高凝、低凝）或体检筛查；快速诊断DIC,区分原发性纤溶亢进和继发性纤溶亢进，指导各类血制品的使用。判断各类肝素的药效（肝素酶杯检测），主要用于术中判断肝素是否适量，指导鱼精蛋白的使用；评估阿司匹林、氯吡格雷、阿昔单抗等抗血小板药物的效果（血小板聚集功能检测），自动算出AA、ADP受体通道的抑制率（AA%，ADP%），主要用于评估抗血小板药物的疗效；体外检测人全血功能性纤维蛋白原的含量（功能性纤维蛋白原检测）；快速TEG检测（激活凝血检测试剂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1"/>
                <w:szCs w:val="21"/>
                <w:highlight w:val="none"/>
              </w:rPr>
            </w:pPr>
            <w:r>
              <w:rPr>
                <w:rFonts w:hint="eastAsia" w:ascii="宋体" w:hAnsi="宋体" w:cs="宋体"/>
                <w:color w:val="000000" w:themeColor="text1"/>
                <w:sz w:val="21"/>
                <w:szCs w:val="21"/>
                <w:highlight w:val="none"/>
                <w14:textFill>
                  <w14:solidFill>
                    <w14:schemeClr w14:val="tx1"/>
                  </w14:solidFill>
                </w14:textFill>
              </w:rPr>
              <w:t>2*</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基本原理</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宋体" w:hAnsi="宋体" w:eastAsia="宋体" w:cs="宋体"/>
                <w:color w:val="auto"/>
                <w:sz w:val="21"/>
                <w:szCs w:val="21"/>
                <w:highlight w:val="none"/>
                <w:lang w:eastAsia="zh-CN"/>
              </w:rPr>
            </w:pPr>
            <w:r>
              <w:rPr>
                <w:rFonts w:ascii="Times New Roman" w:hAnsi="宋体" w:eastAsia="宋体" w:cs="Times New Roman"/>
                <w:color w:val="auto"/>
                <w:sz w:val="21"/>
                <w:szCs w:val="21"/>
                <w:highlight w:val="none"/>
              </w:rPr>
              <w:t>机械动力学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3</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样本要求</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color w:val="auto"/>
                <w:sz w:val="21"/>
                <w:szCs w:val="21"/>
                <w:highlight w:val="none"/>
              </w:rPr>
            </w:pPr>
            <w:r>
              <w:rPr>
                <w:rFonts w:hint="eastAsia" w:ascii="宋体" w:hAnsi="宋体" w:cs="宋体"/>
                <w:color w:val="auto"/>
                <w:sz w:val="21"/>
                <w:szCs w:val="21"/>
                <w:highlight w:val="none"/>
              </w:rPr>
              <w:t>枸橼酸钠全血、肝素抗凝全血，每次检测全血用量0.36ml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4</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测定时长</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color w:val="auto"/>
                <w:sz w:val="21"/>
                <w:szCs w:val="21"/>
                <w:highlight w:val="none"/>
              </w:rPr>
            </w:pPr>
            <w:r>
              <w:rPr>
                <w:rFonts w:hint="eastAsia" w:ascii="宋体" w:hAnsi="宋体" w:cs="宋体"/>
                <w:color w:val="auto"/>
                <w:sz w:val="21"/>
                <w:szCs w:val="21"/>
                <w:highlight w:val="none"/>
              </w:rPr>
              <w:t>2</w:t>
            </w:r>
            <w:r>
              <w:rPr>
                <w:rFonts w:hint="eastAsia" w:ascii="宋体" w:hAnsi="宋体" w:cs="宋体"/>
                <w:color w:val="auto"/>
                <w:sz w:val="21"/>
                <w:szCs w:val="21"/>
                <w:highlight w:val="none"/>
                <w:lang w:val="en-US" w:eastAsia="zh-CN"/>
              </w:rPr>
              <w:t>0</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25</w:t>
            </w:r>
            <w:r>
              <w:rPr>
                <w:rFonts w:hint="eastAsia" w:ascii="宋体" w:hAnsi="宋体" w:cs="宋体"/>
                <w:color w:val="auto"/>
                <w:sz w:val="21"/>
                <w:szCs w:val="21"/>
                <w:highlight w:val="none"/>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5</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温度控制</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color w:val="auto"/>
                <w:sz w:val="21"/>
                <w:szCs w:val="21"/>
                <w:highlight w:val="none"/>
              </w:rPr>
            </w:pPr>
            <w:r>
              <w:rPr>
                <w:rFonts w:hint="eastAsia" w:ascii="宋体" w:hAnsi="宋体" w:cs="宋体"/>
                <w:color w:val="auto"/>
                <w:sz w:val="21"/>
                <w:szCs w:val="21"/>
                <w:highlight w:val="none"/>
              </w:rPr>
              <w:t>每个通道均有独立温度控制系统，可根据需要调节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6</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输出参数</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20个以上的国际标准参数，包括α角度，R值，K值，SP，MA值，</w:t>
            </w:r>
            <w:r>
              <w:rPr>
                <w:rFonts w:hint="eastAsia" w:ascii="宋体" w:hAnsi="宋体" w:cs="宋体"/>
                <w:color w:val="auto"/>
                <w:sz w:val="21"/>
                <w:szCs w:val="21"/>
                <w:highlight w:val="none"/>
                <w:lang w:val="en-US" w:eastAsia="zh-CN"/>
              </w:rPr>
              <w:t>Angle，</w:t>
            </w:r>
            <w:r>
              <w:rPr>
                <w:rFonts w:hint="eastAsia" w:ascii="宋体" w:hAnsi="宋体" w:cs="宋体"/>
                <w:color w:val="auto"/>
                <w:sz w:val="21"/>
                <w:szCs w:val="21"/>
                <w:highlight w:val="none"/>
              </w:rPr>
              <w:t>TMA，G，E，TPI，EPL，A，CI，PMA，LTE，LY30，A30，A60，CL30，CL60，LY60，CLT，</w:t>
            </w:r>
            <w:r>
              <w:rPr>
                <w:rFonts w:hint="eastAsia" w:ascii="宋体" w:hAnsi="宋体" w:cs="宋体"/>
                <w:color w:val="auto"/>
                <w:sz w:val="21"/>
                <w:szCs w:val="21"/>
                <w:highlight w:val="none"/>
                <w:lang w:val="en-US" w:eastAsia="zh-CN"/>
              </w:rPr>
              <w:t>aPTT</w:t>
            </w:r>
            <w:r>
              <w:rPr>
                <w:rFonts w:hint="eastAsia" w:ascii="宋体" w:hAnsi="宋体" w:cs="宋体"/>
                <w:color w:val="auto"/>
                <w:sz w:val="21"/>
                <w:szCs w:val="21"/>
                <w:highlight w:val="none"/>
              </w:rPr>
              <w:t>，</w:t>
            </w:r>
            <w:r>
              <w:rPr>
                <w:rFonts w:hint="eastAsia" w:ascii="宋体" w:hAnsi="宋体" w:cs="宋体"/>
                <w:color w:val="auto"/>
                <w:sz w:val="21"/>
                <w:szCs w:val="21"/>
                <w:highlight w:val="none"/>
                <w:lang w:val="en-US" w:eastAsia="zh-CN"/>
              </w:rPr>
              <w:t>INR</w:t>
            </w:r>
            <w:r>
              <w:rPr>
                <w:rFonts w:hint="eastAsia" w:ascii="宋体" w:hAnsi="宋体" w:cs="宋体"/>
                <w:color w:val="auto"/>
                <w:sz w:val="21"/>
                <w:szCs w:val="21"/>
                <w:highlight w:val="none"/>
              </w:rPr>
              <w:t>等</w:t>
            </w:r>
            <w:r>
              <w:rPr>
                <w:rFonts w:hint="eastAsia" w:ascii="宋体" w:hAnsi="宋体" w:cs="宋体"/>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000000" w:themeColor="text1"/>
                <w:sz w:val="21"/>
                <w:szCs w:val="21"/>
                <w:highlight w:val="none"/>
                <w14:textFill>
                  <w14:solidFill>
                    <w14:schemeClr w14:val="tx1"/>
                  </w14:solidFill>
                </w14:textFill>
              </w:rPr>
              <w:t>7</w:t>
            </w:r>
            <w:r>
              <w:rPr>
                <w:rFonts w:hint="eastAsia" w:ascii="宋体" w:hAnsi="宋体" w:cs="宋体"/>
                <w:color w:val="000000" w:themeColor="text1"/>
                <w:sz w:val="21"/>
                <w:szCs w:val="21"/>
                <w:highlight w:val="none"/>
                <w:lang w:val="en-US" w:eastAsia="zh-CN"/>
                <w14:textFill>
                  <w14:solidFill>
                    <w14:schemeClr w14:val="tx1"/>
                  </w14:solidFill>
                </w14:textFill>
              </w:rPr>
              <w:t>*</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检测通道</w:t>
            </w:r>
          </w:p>
        </w:tc>
        <w:tc>
          <w:tcPr>
            <w:tcW w:w="759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eastAsia="宋体" w:cs="宋体"/>
                <w:color w:val="auto"/>
                <w:sz w:val="21"/>
                <w:szCs w:val="21"/>
                <w:highlight w:val="none"/>
                <w:lang w:eastAsia="zh-CN"/>
              </w:rPr>
            </w:pPr>
            <w:r>
              <w:rPr>
                <w:rFonts w:ascii="Times New Roman" w:hAnsi="Times New Roman" w:eastAsia="宋体" w:cs="Times New Roman"/>
                <w:color w:val="auto"/>
                <w:sz w:val="21"/>
                <w:szCs w:val="21"/>
                <w:highlight w:val="none"/>
              </w:rPr>
              <w:t xml:space="preserve">4 </w:t>
            </w:r>
            <w:r>
              <w:rPr>
                <w:rFonts w:ascii="Times New Roman" w:hAnsi="宋体" w:eastAsia="宋体" w:cs="Times New Roman"/>
                <w:color w:val="auto"/>
                <w:sz w:val="21"/>
                <w:szCs w:val="21"/>
                <w:highlight w:val="none"/>
              </w:rPr>
              <w:t>个</w:t>
            </w:r>
            <w:r>
              <w:rPr>
                <w:rFonts w:hint="eastAsia" w:hAnsi="宋体" w:cs="Times New Roman"/>
                <w:color w:val="auto"/>
                <w:sz w:val="21"/>
                <w:szCs w:val="21"/>
                <w:highlight w:val="none"/>
                <w:lang w:eastAsia="zh-CN"/>
              </w:rPr>
              <w:t>，</w:t>
            </w:r>
            <w:r>
              <w:rPr>
                <w:rFonts w:ascii="Times New Roman" w:cs="Times New Roman" w:hAnsiTheme="minorEastAsia"/>
                <w:color w:val="auto"/>
                <w:sz w:val="21"/>
                <w:szCs w:val="21"/>
              </w:rPr>
              <w:t>无需连接外部电脑，可以完全自主实现检测</w:t>
            </w:r>
            <w:r>
              <w:rPr>
                <w:rFonts w:hint="eastAsia" w:cs="Times New Roman" w:hAnsiTheme="minorEastAsia"/>
                <w:color w:val="auto"/>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8</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通道差</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color w:val="auto"/>
                <w:sz w:val="21"/>
                <w:szCs w:val="21"/>
                <w:highlight w:val="none"/>
              </w:rPr>
            </w:pPr>
            <w:r>
              <w:rPr>
                <w:rFonts w:ascii="Times New Roman" w:hAnsi="Times New Roman" w:eastAsia="宋体" w:cs="Times New Roman"/>
                <w:color w:val="auto"/>
                <w:kern w:val="0"/>
                <w:sz w:val="21"/>
                <w:szCs w:val="21"/>
                <w:highlight w:val="none"/>
              </w:rPr>
              <w:t>R/min</w:t>
            </w:r>
            <w:r>
              <w:rPr>
                <w:rFonts w:ascii="Times New Roman" w:hAnsi="宋体" w:eastAsia="宋体" w:cs="Times New Roman"/>
                <w:color w:val="auto"/>
                <w:kern w:val="0"/>
                <w:sz w:val="21"/>
                <w:szCs w:val="21"/>
                <w:highlight w:val="none"/>
              </w:rPr>
              <w:t>、</w:t>
            </w:r>
            <w:r>
              <w:rPr>
                <w:rFonts w:ascii="Times New Roman" w:hAnsi="Times New Roman" w:eastAsia="宋体" w:cs="Times New Roman"/>
                <w:color w:val="auto"/>
                <w:kern w:val="0"/>
                <w:sz w:val="21"/>
                <w:szCs w:val="21"/>
                <w:highlight w:val="none"/>
              </w:rPr>
              <w:t xml:space="preserve">MA/mm </w:t>
            </w:r>
            <w:r>
              <w:rPr>
                <w:rFonts w:ascii="Times New Roman" w:hAnsi="宋体" w:eastAsia="宋体" w:cs="Times New Roman"/>
                <w:color w:val="auto"/>
                <w:kern w:val="0"/>
                <w:sz w:val="21"/>
                <w:szCs w:val="21"/>
                <w:highlight w:val="none"/>
              </w:rPr>
              <w:t>的通道差在</w:t>
            </w:r>
            <w:r>
              <w:rPr>
                <w:rFonts w:ascii="Times New Roman" w:hAnsi="Times New Roman" w:eastAsia="宋体" w:cs="Times New Roman"/>
                <w:color w:val="auto"/>
                <w:kern w:val="0"/>
                <w:sz w:val="21"/>
                <w:szCs w:val="21"/>
                <w:highlight w:val="none"/>
              </w:rPr>
              <w:t xml:space="preserve"> 15%</w:t>
            </w:r>
            <w:r>
              <w:rPr>
                <w:rFonts w:ascii="Times New Roman" w:hAnsi="宋体" w:eastAsia="宋体" w:cs="Times New Roman"/>
                <w:color w:val="auto"/>
                <w:kern w:val="0"/>
                <w:sz w:val="21"/>
                <w:szCs w:val="21"/>
                <w:highlight w:val="none"/>
              </w:rPr>
              <w:t>范围内，</w:t>
            </w:r>
            <w:r>
              <w:rPr>
                <w:rFonts w:ascii="Times New Roman" w:hAnsi="Times New Roman" w:eastAsia="宋体" w:cs="Times New Roman"/>
                <w:color w:val="auto"/>
                <w:kern w:val="0"/>
                <w:sz w:val="21"/>
                <w:szCs w:val="21"/>
                <w:highlight w:val="none"/>
              </w:rPr>
              <w:t xml:space="preserve"> Angle/</w:t>
            </w:r>
            <w:r>
              <w:rPr>
                <w:rFonts w:ascii="Times New Roman" w:hAnsi="宋体" w:eastAsia="宋体" w:cs="Times New Roman"/>
                <w:color w:val="auto"/>
                <w:kern w:val="0"/>
                <w:sz w:val="21"/>
                <w:szCs w:val="21"/>
                <w:highlight w:val="none"/>
              </w:rPr>
              <w:t>度的通道差在</w:t>
            </w:r>
            <w:r>
              <w:rPr>
                <w:rFonts w:ascii="Times New Roman" w:hAnsi="Times New Roman" w:eastAsia="宋体" w:cs="Times New Roman"/>
                <w:color w:val="auto"/>
                <w:kern w:val="0"/>
                <w:sz w:val="21"/>
                <w:szCs w:val="21"/>
                <w:highlight w:val="none"/>
              </w:rPr>
              <w:t xml:space="preserve"> 10%</w:t>
            </w:r>
            <w:r>
              <w:rPr>
                <w:rFonts w:ascii="Times New Roman" w:hAnsi="宋体" w:eastAsia="宋体" w:cs="Times New Roman"/>
                <w:color w:val="auto"/>
                <w:kern w:val="0"/>
                <w:sz w:val="21"/>
                <w:szCs w:val="21"/>
                <w:highlight w:val="none"/>
              </w:rPr>
              <w:t>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9</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测量重复性</w:t>
            </w:r>
            <w:r>
              <w:rPr>
                <w:rFonts w:hint="eastAsia" w:ascii="宋体" w:hAnsi="宋体" w:cs="宋体"/>
                <w:color w:val="auto"/>
                <w:sz w:val="21"/>
                <w:szCs w:val="21"/>
                <w:highlight w:val="none"/>
                <w:lang w:val="en-US" w:eastAsia="zh-CN"/>
              </w:rPr>
              <w:t>,批内CV值</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color w:val="auto"/>
                <w:sz w:val="21"/>
                <w:szCs w:val="21"/>
                <w:highlight w:val="none"/>
              </w:rPr>
            </w:pPr>
            <w:r>
              <w:rPr>
                <w:rFonts w:ascii="Times New Roman" w:hAnsi="Times New Roman" w:eastAsia="宋体" w:cs="Times New Roman"/>
                <w:color w:val="auto"/>
                <w:kern w:val="0"/>
                <w:sz w:val="21"/>
                <w:szCs w:val="21"/>
                <w:highlight w:val="none"/>
              </w:rPr>
              <w:t>R/min</w:t>
            </w:r>
            <w:r>
              <w:rPr>
                <w:rFonts w:ascii="Times New Roman" w:hAnsi="宋体" w:eastAsia="宋体" w:cs="Times New Roman"/>
                <w:color w:val="auto"/>
                <w:kern w:val="0"/>
                <w:sz w:val="21"/>
                <w:szCs w:val="21"/>
                <w:highlight w:val="none"/>
              </w:rPr>
              <w:t>、</w:t>
            </w:r>
            <w:r>
              <w:rPr>
                <w:rFonts w:ascii="Times New Roman" w:hAnsi="Times New Roman" w:eastAsia="宋体" w:cs="Times New Roman"/>
                <w:color w:val="auto"/>
                <w:kern w:val="0"/>
                <w:sz w:val="21"/>
                <w:szCs w:val="21"/>
                <w:highlight w:val="none"/>
              </w:rPr>
              <w:t xml:space="preserve">MA/mm </w:t>
            </w:r>
            <w:r>
              <w:rPr>
                <w:rFonts w:ascii="Times New Roman" w:hAnsi="宋体" w:eastAsia="宋体" w:cs="Times New Roman"/>
                <w:color w:val="auto"/>
                <w:kern w:val="0"/>
                <w:sz w:val="21"/>
                <w:szCs w:val="21"/>
                <w:highlight w:val="none"/>
              </w:rPr>
              <w:t>的变异系数在</w:t>
            </w:r>
            <w:r>
              <w:rPr>
                <w:rFonts w:ascii="Times New Roman" w:hAnsi="Times New Roman" w:eastAsia="宋体" w:cs="Times New Roman"/>
                <w:color w:val="auto"/>
                <w:kern w:val="0"/>
                <w:sz w:val="21"/>
                <w:szCs w:val="21"/>
                <w:highlight w:val="none"/>
              </w:rPr>
              <w:t xml:space="preserve"> 15%</w:t>
            </w:r>
            <w:r>
              <w:rPr>
                <w:rFonts w:ascii="Times New Roman" w:hAnsi="宋体" w:eastAsia="宋体" w:cs="Times New Roman"/>
                <w:color w:val="auto"/>
                <w:kern w:val="0"/>
                <w:sz w:val="21"/>
                <w:szCs w:val="21"/>
                <w:highlight w:val="none"/>
              </w:rPr>
              <w:t>范围内，</w:t>
            </w:r>
            <w:r>
              <w:rPr>
                <w:rFonts w:ascii="Times New Roman" w:hAnsi="Times New Roman" w:eastAsia="宋体" w:cs="Times New Roman"/>
                <w:color w:val="auto"/>
                <w:kern w:val="0"/>
                <w:sz w:val="21"/>
                <w:szCs w:val="21"/>
                <w:highlight w:val="none"/>
              </w:rPr>
              <w:t>Angle/</w:t>
            </w:r>
            <w:r>
              <w:rPr>
                <w:rFonts w:ascii="Times New Roman" w:hAnsi="宋体" w:eastAsia="宋体" w:cs="Times New Roman"/>
                <w:color w:val="auto"/>
                <w:kern w:val="0"/>
                <w:sz w:val="21"/>
                <w:szCs w:val="21"/>
                <w:highlight w:val="none"/>
              </w:rPr>
              <w:t>度的偏倚在</w:t>
            </w:r>
            <w:r>
              <w:rPr>
                <w:rFonts w:ascii="Times New Roman" w:hAnsi="Times New Roman" w:eastAsia="宋体" w:cs="Times New Roman"/>
                <w:color w:val="auto"/>
                <w:kern w:val="0"/>
                <w:sz w:val="21"/>
                <w:szCs w:val="21"/>
                <w:highlight w:val="none"/>
              </w:rPr>
              <w:t xml:space="preserve"> 10%</w:t>
            </w:r>
            <w:r>
              <w:rPr>
                <w:rFonts w:ascii="Times New Roman" w:hAnsi="宋体" w:eastAsia="宋体" w:cs="Times New Roman"/>
                <w:color w:val="auto"/>
                <w:kern w:val="0"/>
                <w:sz w:val="21"/>
                <w:szCs w:val="21"/>
                <w:highlight w:val="none"/>
              </w:rPr>
              <w:t>范围内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ascii="宋体" w:hAnsi="宋体" w:cs="宋体"/>
                <w:color w:val="auto"/>
                <w:sz w:val="21"/>
                <w:szCs w:val="21"/>
                <w:highlight w:val="none"/>
              </w:rPr>
            </w:pPr>
            <w:r>
              <w:rPr>
                <w:rFonts w:hint="eastAsia" w:ascii="宋体" w:hAnsi="宋体" w:cs="宋体"/>
                <w:color w:val="auto"/>
                <w:sz w:val="21"/>
                <w:szCs w:val="21"/>
                <w:highlight w:val="none"/>
              </w:rPr>
              <w:t>10</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电源</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tabs>
                <w:tab w:val="left" w:pos="3673"/>
              </w:tabs>
              <w:spacing w:line="36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220V±22V，频率50Hz±1H</w:t>
            </w:r>
            <w:r>
              <w:rPr>
                <w:rFonts w:hint="eastAsia" w:ascii="宋体" w:hAnsi="宋体" w:cs="宋体"/>
                <w:color w:val="auto"/>
                <w:sz w:val="21"/>
                <w:szCs w:val="21"/>
                <w:highlight w:val="none"/>
                <w:lang w:val="en-US" w:eastAsia="zh-CN"/>
              </w:rPr>
              <w:t xml:space="preserve">  输入功率120W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11</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尺寸</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tabs>
                <w:tab w:val="left" w:pos="3673"/>
              </w:tabs>
              <w:spacing w:line="36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主机</w:t>
            </w:r>
            <w:r>
              <w:rPr>
                <w:rFonts w:hint="eastAsia" w:ascii="宋体" w:hAnsi="宋体" w:cs="宋体"/>
                <w:color w:val="auto"/>
                <w:sz w:val="21"/>
                <w:szCs w:val="21"/>
                <w:highlight w:val="none"/>
                <w:lang w:val="en-US" w:eastAsia="zh-CN"/>
              </w:rPr>
              <w:t>L*W*H  320mm * 320mm * 380mm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12</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lang w:eastAsia="zh-CN"/>
              </w:rPr>
              <w:t>重量</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tabs>
                <w:tab w:val="left" w:pos="3673"/>
              </w:tabs>
              <w:spacing w:line="360" w:lineRule="exact"/>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eastAsia="zh-CN"/>
              </w:rPr>
              <w:t>主机</w:t>
            </w:r>
            <w:r>
              <w:rPr>
                <w:rFonts w:hint="eastAsia" w:ascii="宋体" w:hAnsi="宋体" w:cs="宋体"/>
                <w:color w:val="auto"/>
                <w:sz w:val="21"/>
                <w:szCs w:val="21"/>
                <w:highlight w:val="none"/>
                <w:lang w:val="en-US" w:eastAsia="zh-CN"/>
              </w:rPr>
              <w:t xml:space="preserve"> 15.4Kg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3</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连续工作时间</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color w:val="auto"/>
                <w:sz w:val="21"/>
                <w:szCs w:val="21"/>
                <w:highlight w:val="none"/>
              </w:rPr>
            </w:pPr>
            <w:r>
              <w:rPr>
                <w:rFonts w:hint="eastAsia" w:ascii="宋体" w:hAnsi="宋体" w:cs="宋体"/>
                <w:color w:val="auto"/>
                <w:sz w:val="21"/>
                <w:szCs w:val="21"/>
                <w:highlight w:val="none"/>
              </w:rPr>
              <w:t>不低于24小时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4</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软件功能</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专用配套软件，自动记录检测结果，系统与医院Lis系统对接，具有数据导出功能</w:t>
            </w:r>
            <w:r>
              <w:rPr>
                <w:rFonts w:hint="eastAsia" w:ascii="宋体" w:hAnsi="宋体" w:cs="宋体"/>
                <w:color w:val="auto"/>
                <w:sz w:val="21"/>
                <w:szCs w:val="21"/>
                <w:highlight w:val="none"/>
                <w:lang w:eastAsia="zh-CN"/>
              </w:rPr>
              <w:t>，报告单编辑和打印功能</w:t>
            </w:r>
            <w:r>
              <w:rPr>
                <w:rFonts w:hint="eastAsia" w:ascii="宋体" w:hAnsi="宋体" w:cs="宋体"/>
                <w:color w:val="auto"/>
                <w:sz w:val="21"/>
                <w:szCs w:val="21"/>
                <w:highlight w:val="none"/>
              </w:rPr>
              <w:t>，方便临床医师提取和查询，显示初步诊断结果</w:t>
            </w:r>
            <w:r>
              <w:rPr>
                <w:rFonts w:hint="eastAsia" w:ascii="宋体" w:hAnsi="宋体" w:cs="宋体"/>
                <w:color w:val="auto"/>
                <w:sz w:val="21"/>
                <w:szCs w:val="21"/>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5</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报告模式</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color w:val="auto"/>
                <w:sz w:val="21"/>
                <w:szCs w:val="21"/>
                <w:highlight w:val="none"/>
              </w:rPr>
            </w:pPr>
            <w:r>
              <w:rPr>
                <w:rFonts w:hint="eastAsia" w:ascii="宋体" w:hAnsi="宋体" w:cs="宋体"/>
                <w:color w:val="auto"/>
                <w:sz w:val="21"/>
                <w:szCs w:val="21"/>
                <w:highlight w:val="none"/>
              </w:rPr>
              <w:t>图形+数据，输出初步的诊断建议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FF0000"/>
                <w:sz w:val="21"/>
                <w:szCs w:val="21"/>
                <w:highlight w:val="none"/>
                <w:lang w:eastAsia="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6</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报告发送方式</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color w:val="auto"/>
                <w:sz w:val="21"/>
                <w:szCs w:val="21"/>
                <w:highlight w:val="none"/>
              </w:rPr>
            </w:pPr>
            <w:r>
              <w:rPr>
                <w:rFonts w:hint="eastAsia" w:ascii="宋体" w:hAnsi="宋体" w:cs="宋体"/>
                <w:color w:val="auto"/>
                <w:sz w:val="21"/>
                <w:szCs w:val="21"/>
                <w:highlight w:val="none"/>
              </w:rPr>
              <w:t>报告自动发送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FF0000"/>
                <w:sz w:val="21"/>
                <w:szCs w:val="21"/>
                <w:highlight w:val="none"/>
                <w:lang w:eastAsia="zh-CN"/>
              </w:rPr>
            </w:pPr>
            <w:r>
              <w:rPr>
                <w:rFonts w:hint="eastAsia" w:ascii="宋体" w:hAnsi="宋体" w:cs="宋体"/>
                <w:b w:val="0"/>
                <w:bCs w:val="0"/>
                <w:color w:val="000000" w:themeColor="text1"/>
                <w:sz w:val="21"/>
                <w:szCs w:val="21"/>
                <w:highlight w:val="none"/>
                <w14:textFill>
                  <w14:solidFill>
                    <w14:schemeClr w14:val="tx1"/>
                  </w14:solidFill>
                </w14:textFill>
              </w:rPr>
              <w:t>1</w:t>
            </w:r>
            <w:r>
              <w:rPr>
                <w:rFonts w:hint="eastAsia" w:ascii="宋体" w:hAnsi="宋体" w:cs="宋体"/>
                <w:b w:val="0"/>
                <w:bCs w:val="0"/>
                <w:color w:val="000000" w:themeColor="text1"/>
                <w:sz w:val="21"/>
                <w:szCs w:val="21"/>
                <w:highlight w:val="none"/>
                <w:lang w:val="en-US" w:eastAsia="zh-CN"/>
                <w14:textFill>
                  <w14:solidFill>
                    <w14:schemeClr w14:val="tx1"/>
                  </w14:solidFill>
                </w14:textFill>
              </w:rPr>
              <w:t>7</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操作界面</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rPr>
              <w:t>中文操作界面</w:t>
            </w:r>
            <w:r>
              <w:rPr>
                <w:rFonts w:hint="eastAsia" w:ascii="宋体" w:hAnsi="宋体" w:cs="宋体"/>
                <w:color w:val="auto"/>
                <w:sz w:val="21"/>
                <w:szCs w:val="21"/>
                <w:highlight w:val="none"/>
                <w:lang w:val="en-US" w:eastAsia="zh-CN"/>
              </w:rPr>
              <w:t>,无需连接电脑，自动上下杯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1"/>
                <w:szCs w:val="21"/>
                <w:highlight w:val="none"/>
                <w:lang w:eastAsia="zh-CN"/>
              </w:rPr>
            </w:pPr>
            <w:r>
              <w:rPr>
                <w:rFonts w:hint="eastAsia" w:ascii="宋体" w:hAnsi="宋体" w:cs="宋体"/>
                <w:color w:val="auto"/>
                <w:sz w:val="21"/>
                <w:szCs w:val="21"/>
                <w:highlight w:val="none"/>
              </w:rPr>
              <w:t>1</w:t>
            </w:r>
            <w:r>
              <w:rPr>
                <w:rFonts w:hint="eastAsia" w:ascii="宋体" w:hAnsi="宋体" w:cs="宋体"/>
                <w:color w:val="auto"/>
                <w:sz w:val="21"/>
                <w:szCs w:val="21"/>
                <w:highlight w:val="none"/>
                <w:lang w:val="en-US" w:eastAsia="zh-CN"/>
              </w:rPr>
              <w:t>8</w:t>
            </w:r>
          </w:p>
        </w:tc>
        <w:tc>
          <w:tcPr>
            <w:tcW w:w="2491" w:type="dxa"/>
            <w:tcBorders>
              <w:left w:val="single" w:color="auto" w:sz="4" w:space="0"/>
              <w:bottom w:val="single" w:color="auto" w:sz="4" w:space="0"/>
              <w:right w:val="single" w:color="auto" w:sz="4" w:space="0"/>
            </w:tcBorders>
            <w:vAlign w:val="center"/>
          </w:tcPr>
          <w:p>
            <w:pPr>
              <w:pStyle w:val="6"/>
              <w:spacing w:line="360" w:lineRule="exact"/>
              <w:ind w:firstLine="0" w:firstLineChars="0"/>
              <w:rPr>
                <w:rFonts w:ascii="宋体" w:hAnsi="宋体" w:cs="宋体"/>
                <w:color w:val="auto"/>
                <w:sz w:val="21"/>
                <w:szCs w:val="21"/>
                <w:highlight w:val="none"/>
              </w:rPr>
            </w:pPr>
            <w:r>
              <w:rPr>
                <w:rFonts w:hint="eastAsia" w:ascii="宋体" w:hAnsi="宋体" w:cs="宋体"/>
                <w:color w:val="auto"/>
                <w:sz w:val="21"/>
                <w:szCs w:val="21"/>
                <w:highlight w:val="none"/>
              </w:rPr>
              <w:t>配置</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ascii="宋体" w:hAnsi="宋体" w:cs="宋体"/>
                <w:color w:val="auto"/>
                <w:sz w:val="21"/>
                <w:szCs w:val="21"/>
                <w:highlight w:val="none"/>
              </w:rPr>
            </w:pPr>
            <w:r>
              <w:rPr>
                <w:rFonts w:hint="eastAsia" w:ascii="宋体" w:hAnsi="宋体" w:cs="宋体"/>
                <w:color w:val="auto"/>
                <w:sz w:val="21"/>
                <w:szCs w:val="21"/>
                <w:highlight w:val="none"/>
              </w:rPr>
              <w:t>主机 1台、电源线 1</w:t>
            </w:r>
            <w:r>
              <w:rPr>
                <w:rFonts w:hint="eastAsia" w:ascii="宋体" w:hAnsi="宋体" w:cs="宋体"/>
                <w:color w:val="auto"/>
                <w:sz w:val="21"/>
                <w:szCs w:val="21"/>
                <w:highlight w:val="none"/>
                <w:lang w:eastAsia="zh-CN"/>
              </w:rPr>
              <w:t>根</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我司自制调节笔</w:t>
            </w:r>
            <w:r>
              <w:rPr>
                <w:rFonts w:hint="eastAsia" w:ascii="宋体" w:hAnsi="宋体" w:cs="宋体"/>
                <w:color w:val="auto"/>
                <w:sz w:val="21"/>
                <w:szCs w:val="21"/>
                <w:highlight w:val="none"/>
                <w:lang w:val="en-US" w:eastAsia="zh-CN"/>
              </w:rPr>
              <w:t>1支</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无线键盘（选配）</w:t>
            </w:r>
            <w:r>
              <w:rPr>
                <w:rFonts w:hint="eastAsia" w:ascii="宋体" w:hAnsi="宋体" w:cs="宋体"/>
                <w:color w:val="auto"/>
                <w:sz w:val="21"/>
                <w:szCs w:val="21"/>
                <w:highlight w:val="none"/>
                <w:lang w:val="en-US" w:eastAsia="zh-CN"/>
              </w:rPr>
              <w:t>1个</w:t>
            </w:r>
            <w:r>
              <w:rPr>
                <w:rFonts w:hint="eastAsia" w:ascii="宋体" w:hAnsi="宋体" w:cs="宋体"/>
                <w:color w:val="auto"/>
                <w:sz w:val="21"/>
                <w:szCs w:val="21"/>
                <w:highlight w:val="none"/>
              </w:rPr>
              <w:t>、</w:t>
            </w:r>
            <w:r>
              <w:rPr>
                <w:rFonts w:hint="eastAsia" w:ascii="宋体" w:hAnsi="宋体" w:cs="宋体"/>
                <w:color w:val="auto"/>
                <w:sz w:val="21"/>
                <w:szCs w:val="21"/>
                <w:highlight w:val="none"/>
                <w:lang w:eastAsia="zh-CN"/>
              </w:rPr>
              <w:t>无线鼠标（选配）</w:t>
            </w:r>
            <w:r>
              <w:rPr>
                <w:rFonts w:hint="eastAsia" w:ascii="宋体" w:hAnsi="宋体" w:cs="宋体"/>
                <w:color w:val="auto"/>
                <w:sz w:val="21"/>
                <w:szCs w:val="21"/>
                <w:highlight w:val="none"/>
                <w:lang w:val="en-US" w:eastAsia="zh-CN"/>
              </w:rPr>
              <w:t>1个、反光镜1个</w:t>
            </w:r>
            <w:r>
              <w:rPr>
                <w:rFonts w:hint="eastAsia" w:ascii="宋体" w:hAnsi="宋体" w:cs="宋体"/>
                <w:color w:val="auto"/>
                <w:sz w:val="21"/>
                <w:szCs w:val="21"/>
                <w:highlight w:val="none"/>
              </w:rPr>
              <w:t>、说明书</w:t>
            </w:r>
            <w:r>
              <w:rPr>
                <w:rFonts w:hint="eastAsia" w:ascii="宋体" w:hAnsi="宋体" w:cs="宋体"/>
                <w:color w:val="auto"/>
                <w:sz w:val="21"/>
                <w:szCs w:val="21"/>
                <w:highlight w:val="none"/>
                <w:lang w:eastAsia="zh-CN"/>
              </w:rPr>
              <w:t>、合格证、操作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19</w:t>
            </w:r>
          </w:p>
        </w:tc>
        <w:tc>
          <w:tcPr>
            <w:tcW w:w="2491" w:type="dxa"/>
            <w:tcBorders>
              <w:left w:val="single" w:color="auto" w:sz="4" w:space="0"/>
              <w:bottom w:val="single" w:color="auto" w:sz="4" w:space="0"/>
              <w:right w:val="single" w:color="auto" w:sz="4" w:space="0"/>
            </w:tcBorders>
            <w:vAlign w:val="center"/>
          </w:tcPr>
          <w:p>
            <w:pPr>
              <w:spacing w:line="36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质控品</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rPr>
                <w:rFonts w:hint="eastAsia" w:ascii="宋体" w:hAnsi="宋体" w:cs="宋体"/>
                <w:color w:val="auto"/>
                <w:sz w:val="21"/>
                <w:szCs w:val="21"/>
                <w:highlight w:val="none"/>
              </w:rPr>
            </w:pPr>
            <w:r>
              <w:rPr>
                <w:rFonts w:hint="eastAsia" w:ascii="宋体" w:hAnsi="宋体" w:cs="宋体"/>
                <w:color w:val="auto"/>
                <w:sz w:val="21"/>
                <w:szCs w:val="21"/>
                <w:highlight w:val="none"/>
              </w:rPr>
              <w:t>拥有高、低两种原厂质控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jc w:val="center"/>
        </w:trPr>
        <w:tc>
          <w:tcPr>
            <w:tcW w:w="636" w:type="dxa"/>
            <w:tcBorders>
              <w:left w:val="single" w:color="auto" w:sz="4" w:space="0"/>
              <w:right w:val="single" w:color="auto" w:sz="4" w:space="0"/>
            </w:tcBorders>
            <w:vAlign w:val="center"/>
          </w:tcPr>
          <w:p>
            <w:pPr>
              <w:widowControl/>
              <w:spacing w:line="360" w:lineRule="exact"/>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20</w:t>
            </w:r>
          </w:p>
        </w:tc>
        <w:tc>
          <w:tcPr>
            <w:tcW w:w="2491" w:type="dxa"/>
            <w:tcBorders>
              <w:left w:val="single" w:color="auto" w:sz="4" w:space="0"/>
              <w:right w:val="single" w:color="auto" w:sz="4" w:space="0"/>
            </w:tcBorders>
            <w:vAlign w:val="center"/>
          </w:tcPr>
          <w:p>
            <w:pPr>
              <w:spacing w:line="360" w:lineRule="exact"/>
              <w:ind w:left="-420" w:leftChars="-200" w:firstLine="367" w:firstLineChars="175"/>
              <w:rPr>
                <w:rFonts w:hint="eastAsia" w:ascii="宋体" w:hAnsi="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普通杯检测</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firstLine="0" w:firstLineChars="0"/>
              <w:jc w:val="left"/>
              <w:rPr>
                <w:rFonts w:hint="eastAsia" w:ascii="宋体" w:hAnsi="宋体" w:cs="宋体"/>
                <w:color w:val="auto"/>
                <w:sz w:val="21"/>
                <w:szCs w:val="21"/>
                <w:highlight w:val="none"/>
              </w:rPr>
            </w:pPr>
            <w:r>
              <w:rPr>
                <w:rFonts w:hint="eastAsia" w:ascii="宋体" w:hAnsi="宋体" w:eastAsia="宋体" w:cs="宋体"/>
                <w:color w:val="auto"/>
                <w:kern w:val="2"/>
                <w:sz w:val="21"/>
                <w:szCs w:val="21"/>
                <w:highlight w:val="none"/>
                <w:lang w:val="en-US" w:eastAsia="zh-CN" w:bidi="ar-SA"/>
              </w:rPr>
              <w:t>全血凝血过程动态监测（普通杯检测），主要用于术前和术中患者凝血功能的变化监测（区分正常、高凝、低凝）或体检筛查；快速诊断DIC,区分原发性纤溶亢进和继发性纤溶亢进，指导各类血制品的使用。能够在一次检测中完成对凝血因子功能，纤维蛋白原功能，血小板功能和纤维蛋白溶解功能的检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8" w:hRule="atLeast"/>
          <w:jc w:val="center"/>
        </w:trPr>
        <w:tc>
          <w:tcPr>
            <w:tcW w:w="636" w:type="dxa"/>
            <w:tcBorders>
              <w:left w:val="single" w:color="auto" w:sz="4" w:space="0"/>
              <w:right w:val="single" w:color="auto" w:sz="4" w:space="0"/>
            </w:tcBorders>
            <w:vAlign w:val="center"/>
          </w:tcPr>
          <w:p>
            <w:pPr>
              <w:widowControl/>
              <w:spacing w:line="360" w:lineRule="exact"/>
              <w:ind w:left="-420" w:leftChars="-200" w:firstLine="367" w:firstLineChars="175"/>
              <w:jc w:val="center"/>
              <w:rPr>
                <w:rFonts w:hint="eastAsia"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21</w:t>
            </w:r>
          </w:p>
        </w:tc>
        <w:tc>
          <w:tcPr>
            <w:tcW w:w="2491" w:type="dxa"/>
            <w:tcBorders>
              <w:left w:val="single" w:color="auto" w:sz="4" w:space="0"/>
              <w:right w:val="single" w:color="auto" w:sz="4" w:space="0"/>
            </w:tcBorders>
            <w:vAlign w:val="center"/>
          </w:tcPr>
          <w:p>
            <w:pPr>
              <w:spacing w:line="360" w:lineRule="exact"/>
              <w:ind w:left="-420" w:leftChars="-200" w:firstLine="367" w:firstLineChars="175"/>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肝素酶杯检测</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判断各类肝素的药效（肝素酶杯检测），主要用于术中判断肝素是否适量，指导鱼精蛋白的使用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636" w:type="dxa"/>
            <w:tcBorders>
              <w:left w:val="single" w:color="auto" w:sz="4" w:space="0"/>
              <w:right w:val="single" w:color="auto" w:sz="4" w:space="0"/>
            </w:tcBorders>
            <w:vAlign w:val="center"/>
          </w:tcPr>
          <w:p>
            <w:pPr>
              <w:widowControl/>
              <w:spacing w:line="360" w:lineRule="exact"/>
              <w:ind w:left="-420" w:leftChars="-200" w:firstLine="367" w:firstLineChars="175"/>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22</w:t>
            </w:r>
          </w:p>
        </w:tc>
        <w:tc>
          <w:tcPr>
            <w:tcW w:w="2491" w:type="dxa"/>
            <w:tcBorders>
              <w:left w:val="single" w:color="auto" w:sz="4" w:space="0"/>
              <w:right w:val="single" w:color="auto" w:sz="4" w:space="0"/>
            </w:tcBorders>
            <w:vAlign w:val="center"/>
          </w:tcPr>
          <w:p>
            <w:pPr>
              <w:spacing w:line="360" w:lineRule="exact"/>
              <w:ind w:left="-420" w:leftChars="-200" w:firstLine="367" w:firstLineChars="175"/>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AA途径检测</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具备含有花生四烯酸通路的血小板图检测项目</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评估阿司匹林等抗血小板药物的效果（血小板聚集功能检测），自动算出AA受体通道的抑制率（AA%），主要用于评估抗血小板药物的疗效</w:t>
            </w:r>
            <w:r>
              <w:rPr>
                <w:rFonts w:hint="eastAsia" w:ascii="宋体" w:hAnsi="宋体" w:cs="宋体"/>
                <w:color w:val="auto"/>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1" w:hRule="atLeast"/>
          <w:jc w:val="center"/>
        </w:trPr>
        <w:tc>
          <w:tcPr>
            <w:tcW w:w="636" w:type="dxa"/>
            <w:tcBorders>
              <w:left w:val="single" w:color="auto" w:sz="4" w:space="0"/>
              <w:right w:val="single" w:color="auto" w:sz="4" w:space="0"/>
            </w:tcBorders>
            <w:vAlign w:val="center"/>
          </w:tcPr>
          <w:p>
            <w:pPr>
              <w:widowControl/>
              <w:spacing w:line="360" w:lineRule="exact"/>
              <w:ind w:left="-420" w:leftChars="-200" w:firstLine="367" w:firstLineChars="175"/>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23</w:t>
            </w:r>
          </w:p>
        </w:tc>
        <w:tc>
          <w:tcPr>
            <w:tcW w:w="2491" w:type="dxa"/>
            <w:tcBorders>
              <w:left w:val="single" w:color="auto" w:sz="4" w:space="0"/>
              <w:right w:val="single" w:color="auto" w:sz="4" w:space="0"/>
            </w:tcBorders>
            <w:vAlign w:val="center"/>
          </w:tcPr>
          <w:p>
            <w:pPr>
              <w:spacing w:line="360" w:lineRule="exact"/>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ADP途径检测</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具备含有二磷酸腺苷通路的血小板图检测项目</w:t>
            </w:r>
            <w:r>
              <w:rPr>
                <w:rFonts w:hint="eastAsia" w:ascii="宋体" w:hAnsi="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评估氯吡格雷等抗血小板药物的效果（血小板聚集功能检测），自动算出A</w:t>
            </w:r>
            <w:r>
              <w:rPr>
                <w:rFonts w:hint="eastAsia" w:ascii="宋体" w:hAnsi="宋体" w:cs="宋体"/>
                <w:color w:val="auto"/>
                <w:kern w:val="2"/>
                <w:sz w:val="21"/>
                <w:szCs w:val="21"/>
                <w:highlight w:val="none"/>
                <w:lang w:val="en-US" w:eastAsia="zh-CN" w:bidi="ar-SA"/>
              </w:rPr>
              <w:t>DP</w:t>
            </w:r>
            <w:r>
              <w:rPr>
                <w:rFonts w:hint="eastAsia" w:ascii="宋体" w:hAnsi="宋体" w:eastAsia="宋体" w:cs="宋体"/>
                <w:color w:val="auto"/>
                <w:kern w:val="2"/>
                <w:sz w:val="21"/>
                <w:szCs w:val="21"/>
                <w:highlight w:val="none"/>
                <w:lang w:val="en-US" w:eastAsia="zh-CN" w:bidi="ar-SA"/>
              </w:rPr>
              <w:t>受体通道的抑制率（A</w:t>
            </w:r>
            <w:r>
              <w:rPr>
                <w:rFonts w:hint="eastAsia" w:ascii="宋体" w:hAnsi="宋体" w:cs="宋体"/>
                <w:color w:val="auto"/>
                <w:kern w:val="2"/>
                <w:sz w:val="21"/>
                <w:szCs w:val="21"/>
                <w:highlight w:val="none"/>
                <w:lang w:val="en-US" w:eastAsia="zh-CN" w:bidi="ar-SA"/>
              </w:rPr>
              <w:t>DP</w:t>
            </w:r>
            <w:r>
              <w:rPr>
                <w:rFonts w:hint="eastAsia" w:ascii="宋体" w:hAnsi="宋体" w:eastAsia="宋体" w:cs="宋体"/>
                <w:color w:val="auto"/>
                <w:kern w:val="2"/>
                <w:sz w:val="21"/>
                <w:szCs w:val="21"/>
                <w:highlight w:val="none"/>
                <w:lang w:val="en-US" w:eastAsia="zh-CN" w:bidi="ar-SA"/>
              </w:rPr>
              <w:t>%），临床上用于评估噻吩并吡啶类药物的抗血小板效果。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5" w:hRule="atLeast"/>
          <w:jc w:val="center"/>
        </w:trPr>
        <w:tc>
          <w:tcPr>
            <w:tcW w:w="636" w:type="dxa"/>
            <w:tcBorders>
              <w:left w:val="single" w:color="auto" w:sz="4" w:space="0"/>
              <w:right w:val="single" w:color="auto" w:sz="4" w:space="0"/>
            </w:tcBorders>
            <w:vAlign w:val="center"/>
          </w:tcPr>
          <w:p>
            <w:pPr>
              <w:widowControl/>
              <w:spacing w:line="360" w:lineRule="exact"/>
              <w:ind w:left="-420" w:leftChars="-200" w:firstLine="367" w:firstLineChars="175"/>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24</w:t>
            </w:r>
          </w:p>
        </w:tc>
        <w:tc>
          <w:tcPr>
            <w:tcW w:w="2491" w:type="dxa"/>
            <w:tcBorders>
              <w:left w:val="single" w:color="auto" w:sz="4" w:space="0"/>
              <w:right w:val="single" w:color="auto" w:sz="4" w:space="0"/>
            </w:tcBorders>
            <w:vAlign w:val="center"/>
          </w:tcPr>
          <w:p>
            <w:pPr>
              <w:spacing w:line="360" w:lineRule="exact"/>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ADP及AA途径检测</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具有二磷酸腺苷通路及花生四烯酸通路特异性激活剂的血小板图检测项目，评估阿司匹林、氯吡格雷、阿昔单抗等抗血小板药物的效果（血小板聚集功能检测），自动算出AA、ADP受体通道的抑制率（AA%，ADP%），主要用于评估抗血小板药物的疗效</w:t>
            </w:r>
            <w:r>
              <w:rPr>
                <w:rFonts w:hint="eastAsia" w:ascii="宋体" w:hAnsi="宋体" w:cs="宋体"/>
                <w:color w:val="auto"/>
                <w:kern w:val="2"/>
                <w:sz w:val="21"/>
                <w:szCs w:val="21"/>
                <w:highlight w:val="none"/>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636" w:type="dxa"/>
            <w:tcBorders>
              <w:left w:val="single" w:color="auto" w:sz="4" w:space="0"/>
              <w:right w:val="single" w:color="auto" w:sz="4" w:space="0"/>
            </w:tcBorders>
            <w:vAlign w:val="center"/>
          </w:tcPr>
          <w:p>
            <w:pPr>
              <w:widowControl/>
              <w:spacing w:line="360" w:lineRule="exact"/>
              <w:ind w:left="-420" w:leftChars="-200" w:firstLine="367" w:firstLineChars="175"/>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25</w:t>
            </w:r>
          </w:p>
        </w:tc>
        <w:tc>
          <w:tcPr>
            <w:tcW w:w="2491" w:type="dxa"/>
            <w:tcBorders>
              <w:left w:val="single" w:color="auto" w:sz="4" w:space="0"/>
              <w:right w:val="single" w:color="auto" w:sz="4" w:space="0"/>
            </w:tcBorders>
            <w:vAlign w:val="center"/>
          </w:tcPr>
          <w:p>
            <w:pPr>
              <w:spacing w:line="360" w:lineRule="exact"/>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功能性纤维蛋白原检测</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体外检测人全血功能性纤维蛋白原的含量（功能性纤维蛋白原检测）；该试剂包含组织因子及血小板GP</w:t>
            </w: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 = 2 \* ROMAN </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eastAsia="zh-CN" w:bidi="ar-SA"/>
              </w:rPr>
              <w:t>II</w:t>
            </w:r>
            <w:r>
              <w:rPr>
                <w:rFonts w:hint="eastAsia" w:ascii="宋体" w:hAnsi="宋体" w:eastAsia="宋体" w:cs="宋体"/>
                <w:color w:val="auto"/>
                <w:kern w:val="2"/>
                <w:sz w:val="21"/>
                <w:szCs w:val="21"/>
                <w:highlight w:val="none"/>
                <w:lang w:val="en-US" w:eastAsia="zh-CN" w:bidi="ar-SA"/>
              </w:rPr>
              <w:fldChar w:fldCharType="end"/>
            </w:r>
            <w:r>
              <w:rPr>
                <w:rFonts w:hint="eastAsia" w:ascii="宋体" w:hAnsi="宋体" w:eastAsia="宋体" w:cs="宋体"/>
                <w:color w:val="auto"/>
                <w:kern w:val="2"/>
                <w:sz w:val="21"/>
                <w:szCs w:val="21"/>
                <w:highlight w:val="none"/>
                <w:lang w:val="en-US" w:eastAsia="zh-CN" w:bidi="ar-SA"/>
              </w:rPr>
              <w:t>b</w:t>
            </w:r>
            <w:r>
              <w:rPr>
                <w:rFonts w:hint="eastAsia" w:ascii="宋体" w:hAnsi="宋体" w:eastAsia="宋体" w:cs="宋体"/>
                <w:color w:val="auto"/>
                <w:kern w:val="2"/>
                <w:sz w:val="21"/>
                <w:szCs w:val="21"/>
                <w:highlight w:val="none"/>
                <w:lang w:val="en-US" w:eastAsia="zh-CN" w:bidi="ar-SA"/>
              </w:rPr>
              <w:fldChar w:fldCharType="begin"/>
            </w:r>
            <w:r>
              <w:rPr>
                <w:rFonts w:hint="eastAsia" w:ascii="宋体" w:hAnsi="宋体" w:eastAsia="宋体" w:cs="宋体"/>
                <w:color w:val="auto"/>
                <w:kern w:val="2"/>
                <w:sz w:val="21"/>
                <w:szCs w:val="21"/>
                <w:highlight w:val="none"/>
                <w:lang w:val="en-US" w:eastAsia="zh-CN" w:bidi="ar-SA"/>
              </w:rPr>
              <w:instrText xml:space="preserve"> = 3 \* ROMAN </w:instrText>
            </w:r>
            <w:r>
              <w:rPr>
                <w:rFonts w:hint="eastAsia" w:ascii="宋体" w:hAnsi="宋体" w:eastAsia="宋体" w:cs="宋体"/>
                <w:color w:val="auto"/>
                <w:kern w:val="2"/>
                <w:sz w:val="21"/>
                <w:szCs w:val="21"/>
                <w:highlight w:val="none"/>
                <w:lang w:val="en-US" w:eastAsia="zh-CN" w:bidi="ar-SA"/>
              </w:rPr>
              <w:fldChar w:fldCharType="separate"/>
            </w:r>
            <w:r>
              <w:rPr>
                <w:rFonts w:hint="eastAsia" w:ascii="宋体" w:hAnsi="宋体" w:eastAsia="宋体" w:cs="宋体"/>
                <w:color w:val="auto"/>
                <w:kern w:val="2"/>
                <w:sz w:val="21"/>
                <w:szCs w:val="21"/>
                <w:highlight w:val="none"/>
                <w:lang w:val="en-US" w:eastAsia="zh-CN" w:bidi="ar-SA"/>
              </w:rPr>
              <w:t>III</w:t>
            </w:r>
            <w:r>
              <w:rPr>
                <w:rFonts w:hint="eastAsia" w:ascii="宋体" w:hAnsi="宋体" w:eastAsia="宋体" w:cs="宋体"/>
                <w:color w:val="auto"/>
                <w:kern w:val="2"/>
                <w:sz w:val="21"/>
                <w:szCs w:val="21"/>
                <w:highlight w:val="none"/>
                <w:lang w:val="en-US" w:eastAsia="zh-CN" w:bidi="ar-SA"/>
              </w:rPr>
              <w:fldChar w:fldCharType="end"/>
            </w:r>
            <w:r>
              <w:rPr>
                <w:rFonts w:hint="eastAsia" w:ascii="宋体" w:hAnsi="宋体" w:eastAsia="宋体" w:cs="宋体"/>
                <w:color w:val="auto"/>
                <w:kern w:val="2"/>
                <w:sz w:val="21"/>
                <w:szCs w:val="21"/>
                <w:highlight w:val="none"/>
                <w:lang w:val="en-US" w:eastAsia="zh-CN" w:bidi="ar-SA"/>
              </w:rPr>
              <w:t>a受体抑制剂两种成分。可以评估纤维蛋白原的功能，指导血制品科学使用。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36" w:type="dxa"/>
            <w:tcBorders>
              <w:left w:val="single" w:color="auto" w:sz="4" w:space="0"/>
              <w:right w:val="single" w:color="auto" w:sz="4" w:space="0"/>
            </w:tcBorders>
            <w:vAlign w:val="center"/>
          </w:tcPr>
          <w:p>
            <w:pPr>
              <w:widowControl/>
              <w:spacing w:line="360" w:lineRule="exact"/>
              <w:ind w:left="-420" w:leftChars="-200" w:firstLine="367" w:firstLineChars="175"/>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26</w:t>
            </w:r>
          </w:p>
        </w:tc>
        <w:tc>
          <w:tcPr>
            <w:tcW w:w="2491" w:type="dxa"/>
            <w:tcBorders>
              <w:left w:val="single" w:color="auto" w:sz="4" w:space="0"/>
              <w:right w:val="single" w:color="auto" w:sz="4" w:space="0"/>
            </w:tcBorders>
            <w:vAlign w:val="center"/>
          </w:tcPr>
          <w:p>
            <w:pPr>
              <w:spacing w:line="360" w:lineRule="exact"/>
              <w:ind w:left="0" w:leftChars="0" w:firstLine="0" w:firstLineChars="0"/>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凝血激活试剂检测</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spacing w:line="360" w:lineRule="exact"/>
              <w:ind w:left="0" w:leftChars="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具备含有高岭土和组织因子两种成分的凝血激活试剂的快速检测，</w:t>
            </w:r>
            <w:r>
              <w:rPr>
                <w:rFonts w:hint="eastAsia" w:ascii="宋体" w:hAnsi="宋体" w:cs="宋体"/>
                <w:color w:val="auto"/>
                <w:kern w:val="2"/>
                <w:sz w:val="21"/>
                <w:szCs w:val="21"/>
                <w:highlight w:val="none"/>
                <w:lang w:val="en-US" w:eastAsia="zh-CN" w:bidi="ar-SA"/>
              </w:rPr>
              <w:t>可用于定量监测肝素治疗效果。</w:t>
            </w:r>
            <w:r>
              <w:rPr>
                <w:rFonts w:hint="eastAsia" w:ascii="宋体" w:hAnsi="宋体" w:eastAsia="宋体" w:cs="宋体"/>
                <w:color w:val="auto"/>
                <w:kern w:val="2"/>
                <w:sz w:val="21"/>
                <w:szCs w:val="21"/>
                <w:highlight w:val="none"/>
                <w:lang w:val="en-US" w:eastAsia="zh-CN" w:bidi="ar-SA"/>
              </w:rPr>
              <w:t>TEG ACT正常值86-118S。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636" w:type="dxa"/>
            <w:tcBorders>
              <w:left w:val="single" w:color="auto" w:sz="4" w:space="0"/>
              <w:right w:val="single" w:color="auto" w:sz="4" w:space="0"/>
            </w:tcBorders>
            <w:vAlign w:val="center"/>
          </w:tcPr>
          <w:p>
            <w:pPr>
              <w:widowControl/>
              <w:spacing w:line="360" w:lineRule="exact"/>
              <w:ind w:left="-420" w:leftChars="-200" w:firstLine="367" w:firstLineChars="175"/>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kern w:val="2"/>
                <w:sz w:val="21"/>
                <w:szCs w:val="21"/>
                <w:highlight w:val="none"/>
                <w:lang w:val="en-US" w:eastAsia="zh-CN" w:bidi="ar-SA"/>
                <w14:textFill>
                  <w14:solidFill>
                    <w14:schemeClr w14:val="tx1"/>
                  </w14:solidFill>
                </w14:textFill>
              </w:rPr>
              <w:t>27</w:t>
            </w:r>
            <w:r>
              <w:rPr>
                <w:rFonts w:hint="eastAsia" w:ascii="宋体" w:hAnsi="宋体" w:cs="宋体"/>
                <w:color w:val="000000" w:themeColor="text1"/>
                <w:sz w:val="21"/>
                <w:szCs w:val="21"/>
                <w:highlight w:val="none"/>
                <w14:textFill>
                  <w14:solidFill>
                    <w14:schemeClr w14:val="tx1"/>
                  </w14:solidFill>
                </w14:textFill>
              </w:rPr>
              <w:t>*</w:t>
            </w:r>
          </w:p>
        </w:tc>
        <w:tc>
          <w:tcPr>
            <w:tcW w:w="2491" w:type="dxa"/>
            <w:tcBorders>
              <w:left w:val="single" w:color="auto" w:sz="4" w:space="0"/>
              <w:right w:val="single" w:color="auto" w:sz="4" w:space="0"/>
            </w:tcBorders>
            <w:vAlign w:val="center"/>
          </w:tcPr>
          <w:p>
            <w:pPr>
              <w:spacing w:line="360" w:lineRule="exact"/>
              <w:ind w:left="-420" w:leftChars="-200" w:firstLine="367" w:firstLineChars="175"/>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kern w:val="2"/>
                <w:sz w:val="21"/>
                <w:szCs w:val="21"/>
                <w:highlight w:val="none"/>
                <w:lang w:val="en-US" w:eastAsia="zh-CN" w:bidi="ar-SA"/>
                <w14:textFill>
                  <w14:solidFill>
                    <w14:schemeClr w14:val="tx1"/>
                  </w14:solidFill>
                </w14:textFill>
              </w:rPr>
              <w:t>有效期</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tabs>
                <w:tab w:val="left" w:pos="4125"/>
              </w:tabs>
              <w:spacing w:line="360" w:lineRule="exact"/>
              <w:ind w:left="0" w:leftChars="0" w:firstLine="0" w:firstLineChars="0"/>
              <w:jc w:val="left"/>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普通杯3年，血小板、快速1年</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，功纤1年，质控、肝素杯18个月。</w:t>
            </w:r>
            <w:r>
              <w:rPr>
                <w:rFonts w:hint="eastAsia" w:ascii="宋体" w:hAnsi="宋体" w:cs="宋体"/>
                <w:color w:val="000000" w:themeColor="text1"/>
                <w:kern w:val="2"/>
                <w:sz w:val="21"/>
                <w:szCs w:val="21"/>
                <w:highlight w:val="none"/>
                <w:lang w:val="en-US" w:eastAsia="zh-CN" w:bidi="ar-SA"/>
                <w14:textFill>
                  <w14:solidFill>
                    <w14:schemeClr w14:val="tx1"/>
                  </w14:solidFill>
                </w14:textFil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ind w:left="-420" w:leftChars="-200" w:firstLine="367" w:firstLineChars="175"/>
              <w:jc w:val="center"/>
              <w:rPr>
                <w:rFonts w:hint="default"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cs="宋体"/>
                <w:color w:val="000000" w:themeColor="text1"/>
                <w:kern w:val="2"/>
                <w:sz w:val="21"/>
                <w:szCs w:val="21"/>
                <w:highlight w:val="none"/>
                <w:lang w:val="en-US" w:eastAsia="zh-CN" w:bidi="ar-SA"/>
                <w14:textFill>
                  <w14:solidFill>
                    <w14:schemeClr w14:val="tx1"/>
                  </w14:solidFill>
                </w14:textFill>
              </w:rPr>
              <w:t>28</w:t>
            </w:r>
            <w:r>
              <w:rPr>
                <w:rFonts w:hint="eastAsia" w:ascii="宋体" w:hAnsi="宋体" w:cs="宋体"/>
                <w:color w:val="000000" w:themeColor="text1"/>
                <w:sz w:val="21"/>
                <w:szCs w:val="21"/>
                <w:highlight w:val="none"/>
                <w14:textFill>
                  <w14:solidFill>
                    <w14:schemeClr w14:val="tx1"/>
                  </w14:solidFill>
                </w14:textFill>
              </w:rPr>
              <w:t>*</w:t>
            </w:r>
          </w:p>
        </w:tc>
        <w:tc>
          <w:tcPr>
            <w:tcW w:w="2491" w:type="dxa"/>
            <w:tcBorders>
              <w:left w:val="single" w:color="auto" w:sz="4" w:space="0"/>
              <w:bottom w:val="single" w:color="auto" w:sz="4" w:space="0"/>
              <w:right w:val="single" w:color="auto" w:sz="4" w:space="0"/>
            </w:tcBorders>
            <w:vAlign w:val="center"/>
          </w:tcPr>
          <w:p>
            <w:pPr>
              <w:pStyle w:val="6"/>
              <w:spacing w:line="360" w:lineRule="exact"/>
              <w:ind w:left="0" w:leftChars="0" w:firstLine="0" w:firstLineChars="0"/>
              <w:rPr>
                <w:rFonts w:hint="eastAsia" w:ascii="宋体" w:hAnsi="宋体" w:eastAsia="宋体" w:cs="宋体"/>
                <w:kern w:val="2"/>
                <w:sz w:val="21"/>
                <w:szCs w:val="21"/>
                <w:highlight w:val="none"/>
                <w:lang w:val="en-US" w:eastAsia="zh-CN" w:bidi="ar-SA"/>
              </w:rPr>
            </w:pPr>
            <w:r>
              <w:rPr>
                <w:rFonts w:hint="eastAsia" w:ascii="宋体" w:hAnsi="宋体" w:cs="宋体"/>
                <w:sz w:val="21"/>
                <w:szCs w:val="21"/>
                <w:highlight w:val="none"/>
                <w:lang w:eastAsia="zh-CN"/>
              </w:rPr>
              <w:t>体系</w:t>
            </w:r>
            <w:r>
              <w:rPr>
                <w:rFonts w:hint="eastAsia" w:ascii="宋体" w:hAnsi="宋体" w:cs="宋体"/>
                <w:sz w:val="21"/>
                <w:szCs w:val="21"/>
                <w:highlight w:val="none"/>
              </w:rPr>
              <w:t>认证</w:t>
            </w:r>
          </w:p>
        </w:tc>
        <w:tc>
          <w:tcPr>
            <w:tcW w:w="7593" w:type="dxa"/>
            <w:tcBorders>
              <w:top w:val="single" w:color="auto" w:sz="4" w:space="0"/>
              <w:left w:val="single" w:color="auto" w:sz="4" w:space="0"/>
              <w:bottom w:val="single" w:color="auto" w:sz="4" w:space="0"/>
              <w:right w:val="single" w:color="auto" w:sz="4" w:space="0"/>
            </w:tcBorders>
            <w:vAlign w:val="center"/>
          </w:tcPr>
          <w:p>
            <w:pPr>
              <w:pStyle w:val="6"/>
              <w:spacing w:line="360" w:lineRule="exact"/>
              <w:ind w:left="-420" w:leftChars="-200" w:firstLine="367" w:firstLineChars="175"/>
              <w:jc w:val="left"/>
              <w:rPr>
                <w:rFonts w:hint="default" w:ascii="宋体" w:hAnsi="宋体" w:eastAsia="宋体" w:cs="宋体"/>
                <w:kern w:val="2"/>
                <w:sz w:val="21"/>
                <w:szCs w:val="21"/>
                <w:highlight w:val="none"/>
                <w:lang w:val="en-US" w:eastAsia="zh-CN" w:bidi="ar-SA"/>
              </w:rPr>
            </w:pPr>
            <w:r>
              <w:rPr>
                <w:rFonts w:hint="eastAsia" w:ascii="宋体" w:hAnsi="宋体" w:cs="宋体"/>
                <w:sz w:val="21"/>
                <w:szCs w:val="21"/>
                <w:highlight w:val="none"/>
                <w:lang w:eastAsia="zh-CN"/>
              </w:rPr>
              <w:t>华光体系认证，</w:t>
            </w:r>
            <w:r>
              <w:rPr>
                <w:rFonts w:hint="eastAsia" w:ascii="宋体" w:hAnsi="宋体" w:cs="宋体"/>
                <w:sz w:val="21"/>
                <w:szCs w:val="21"/>
                <w:highlight w:val="none"/>
                <w:lang w:val="en-US" w:eastAsia="zh-CN"/>
              </w:rPr>
              <w:t>试剂欧盟CE认证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3" w:hRule="atLeast"/>
          <w:jc w:val="center"/>
        </w:trPr>
        <w:tc>
          <w:tcPr>
            <w:tcW w:w="636" w:type="dxa"/>
            <w:tcBorders>
              <w:left w:val="single" w:color="auto" w:sz="4" w:space="0"/>
              <w:right w:val="single" w:color="auto" w:sz="4" w:space="0"/>
            </w:tcBorders>
            <w:vAlign w:val="center"/>
          </w:tcPr>
          <w:p>
            <w:pPr>
              <w:widowControl/>
              <w:spacing w:line="360" w:lineRule="exact"/>
              <w:ind w:left="-420" w:leftChars="-200" w:firstLine="367" w:firstLineChars="175"/>
              <w:jc w:val="center"/>
              <w:rPr>
                <w:rFonts w:hint="default"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29</w:t>
            </w:r>
          </w:p>
        </w:tc>
        <w:tc>
          <w:tcPr>
            <w:tcW w:w="2491" w:type="dxa"/>
            <w:tcBorders>
              <w:left w:val="single" w:color="auto" w:sz="4" w:space="0"/>
              <w:right w:val="single" w:color="auto" w:sz="4" w:space="0"/>
            </w:tcBorders>
            <w:vAlign w:val="center"/>
          </w:tcPr>
          <w:p>
            <w:pPr>
              <w:spacing w:line="360" w:lineRule="exact"/>
              <w:ind w:left="-420" w:leftChars="-200" w:firstLine="367" w:firstLineChars="175"/>
              <w:rPr>
                <w:rFonts w:hint="eastAsia"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包装及设计</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tabs>
                <w:tab w:val="left" w:pos="4125"/>
              </w:tabs>
              <w:spacing w:line="360" w:lineRule="exact"/>
              <w:ind w:left="0" w:leftChars="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在肝素杯检测试剂中，采取试剂杯内包埋的处理方式，只需一步加样即可完成，大大精简了进口试剂的繁冗操作，也减小了检测过程中的人为误差。在设计上，采用不同颜色的检测杯标示不同用途的检测，大大减少了客户在使用过程中出现的失误，提升用户体验效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636" w:type="dxa"/>
            <w:tcBorders>
              <w:left w:val="single" w:color="auto" w:sz="4" w:space="0"/>
              <w:right w:val="single" w:color="auto" w:sz="4" w:space="0"/>
            </w:tcBorders>
            <w:vAlign w:val="center"/>
          </w:tcPr>
          <w:p>
            <w:pPr>
              <w:widowControl/>
              <w:spacing w:line="360" w:lineRule="exact"/>
              <w:ind w:left="-420" w:leftChars="-200" w:firstLine="367" w:firstLineChars="175"/>
              <w:jc w:val="center"/>
              <w:rPr>
                <w:rFonts w:hint="default"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30</w:t>
            </w:r>
            <w:r>
              <w:rPr>
                <w:rFonts w:hint="eastAsia" w:ascii="宋体" w:hAnsi="宋体" w:cs="宋体"/>
                <w:color w:val="000000" w:themeColor="text1"/>
                <w:sz w:val="21"/>
                <w:szCs w:val="21"/>
                <w:highlight w:val="none"/>
                <w14:textFill>
                  <w14:solidFill>
                    <w14:schemeClr w14:val="tx1"/>
                  </w14:solidFill>
                </w14:textFill>
              </w:rPr>
              <w:t>*</w:t>
            </w:r>
          </w:p>
        </w:tc>
        <w:tc>
          <w:tcPr>
            <w:tcW w:w="2491" w:type="dxa"/>
            <w:tcBorders>
              <w:left w:val="single" w:color="auto" w:sz="4" w:space="0"/>
              <w:right w:val="single" w:color="auto" w:sz="4" w:space="0"/>
            </w:tcBorders>
            <w:vAlign w:val="center"/>
          </w:tcPr>
          <w:p>
            <w:pPr>
              <w:spacing w:line="360" w:lineRule="exact"/>
              <w:ind w:left="-420" w:leftChars="-200" w:firstLine="367" w:firstLineChars="175"/>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安徽省集采</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tabs>
                <w:tab w:val="left" w:pos="4125"/>
              </w:tabs>
              <w:spacing w:line="360" w:lineRule="exact"/>
              <w:ind w:left="0" w:leftChars="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在安徽省集中交易目录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7" w:hRule="atLeast"/>
          <w:jc w:val="center"/>
        </w:trPr>
        <w:tc>
          <w:tcPr>
            <w:tcW w:w="636" w:type="dxa"/>
            <w:tcBorders>
              <w:left w:val="single" w:color="auto" w:sz="4" w:space="0"/>
              <w:bottom w:val="single" w:color="auto" w:sz="4" w:space="0"/>
              <w:right w:val="single" w:color="auto" w:sz="4" w:space="0"/>
            </w:tcBorders>
            <w:vAlign w:val="center"/>
          </w:tcPr>
          <w:p>
            <w:pPr>
              <w:widowControl/>
              <w:spacing w:line="360" w:lineRule="exact"/>
              <w:ind w:left="-420" w:leftChars="-200" w:firstLine="367" w:firstLineChars="175"/>
              <w:jc w:val="center"/>
              <w:rPr>
                <w:rFonts w:hint="default"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31</w:t>
            </w:r>
          </w:p>
        </w:tc>
        <w:tc>
          <w:tcPr>
            <w:tcW w:w="2491" w:type="dxa"/>
            <w:tcBorders>
              <w:left w:val="single" w:color="auto" w:sz="4" w:space="0"/>
              <w:bottom w:val="single" w:color="auto" w:sz="4" w:space="0"/>
              <w:right w:val="single" w:color="auto" w:sz="4" w:space="0"/>
            </w:tcBorders>
            <w:vAlign w:val="center"/>
          </w:tcPr>
          <w:p>
            <w:pPr>
              <w:spacing w:line="360" w:lineRule="exact"/>
              <w:ind w:left="-420" w:leftChars="-200" w:firstLine="367" w:firstLineChars="175"/>
              <w:jc w:val="left"/>
              <w:rPr>
                <w:rFonts w:hint="default"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年用量</w:t>
            </w:r>
          </w:p>
        </w:tc>
        <w:tc>
          <w:tcPr>
            <w:tcW w:w="7593" w:type="dxa"/>
            <w:tcBorders>
              <w:top w:val="single" w:color="auto" w:sz="4" w:space="0"/>
              <w:left w:val="single" w:color="auto" w:sz="4" w:space="0"/>
              <w:bottom w:val="single" w:color="auto" w:sz="4" w:space="0"/>
              <w:right w:val="single" w:color="auto" w:sz="4" w:space="0"/>
            </w:tcBorders>
            <w:vAlign w:val="center"/>
          </w:tcPr>
          <w:p>
            <w:pPr>
              <w:widowControl/>
              <w:tabs>
                <w:tab w:val="left" w:pos="4125"/>
              </w:tabs>
              <w:spacing w:line="360" w:lineRule="exact"/>
              <w:ind w:left="0" w:leftChars="0" w:firstLine="0" w:firstLineChars="0"/>
              <w:jc w:val="left"/>
              <w:rPr>
                <w:rFonts w:hint="default" w:ascii="宋体" w:hAnsi="宋体" w:cs="宋体"/>
                <w:color w:val="auto"/>
                <w:kern w:val="2"/>
                <w:sz w:val="21"/>
                <w:szCs w:val="21"/>
                <w:highlight w:val="none"/>
                <w:lang w:val="en-US" w:eastAsia="zh-CN" w:bidi="ar-SA"/>
              </w:rPr>
            </w:pPr>
            <w:r>
              <w:rPr>
                <w:rFonts w:hint="eastAsia" w:ascii="宋体" w:hAnsi="宋体" w:cs="宋体"/>
                <w:color w:val="auto"/>
                <w:kern w:val="2"/>
                <w:sz w:val="21"/>
                <w:szCs w:val="21"/>
                <w:highlight w:val="none"/>
                <w:lang w:val="en-US" w:eastAsia="zh-CN" w:bidi="ar-SA"/>
              </w:rPr>
              <w:t>普通杯200人份，ADP途径300人份，AA途径300人份，AA及ADP途径200人份</w:t>
            </w:r>
            <w:bookmarkStart w:id="0" w:name="_GoBack"/>
            <w:bookmarkEnd w:id="0"/>
          </w:p>
        </w:tc>
      </w:tr>
    </w:tbl>
    <w:p>
      <w:pPr>
        <w:rPr>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1C0768"/>
    <w:rsid w:val="015318B5"/>
    <w:rsid w:val="027F05A8"/>
    <w:rsid w:val="075A312A"/>
    <w:rsid w:val="089A41E4"/>
    <w:rsid w:val="0D466F51"/>
    <w:rsid w:val="0D740D9C"/>
    <w:rsid w:val="0EE70833"/>
    <w:rsid w:val="10E11AD0"/>
    <w:rsid w:val="12583238"/>
    <w:rsid w:val="1620297C"/>
    <w:rsid w:val="165E5147"/>
    <w:rsid w:val="18666DC5"/>
    <w:rsid w:val="1E1C0768"/>
    <w:rsid w:val="1EF606BD"/>
    <w:rsid w:val="228F10D4"/>
    <w:rsid w:val="243D69E3"/>
    <w:rsid w:val="2E9F1B85"/>
    <w:rsid w:val="31A81FF0"/>
    <w:rsid w:val="31AE53C2"/>
    <w:rsid w:val="31E37903"/>
    <w:rsid w:val="3802089D"/>
    <w:rsid w:val="383B7AAD"/>
    <w:rsid w:val="3A481349"/>
    <w:rsid w:val="3CC712E7"/>
    <w:rsid w:val="4B0B5106"/>
    <w:rsid w:val="4BAB550A"/>
    <w:rsid w:val="4CA45D67"/>
    <w:rsid w:val="4D340777"/>
    <w:rsid w:val="4EEC3179"/>
    <w:rsid w:val="536844B2"/>
    <w:rsid w:val="54615490"/>
    <w:rsid w:val="55F030B3"/>
    <w:rsid w:val="655B7F4A"/>
    <w:rsid w:val="658A109A"/>
    <w:rsid w:val="696A37DB"/>
    <w:rsid w:val="69E41FA9"/>
    <w:rsid w:val="6D535020"/>
    <w:rsid w:val="76797836"/>
    <w:rsid w:val="76AE5ADB"/>
    <w:rsid w:val="77793AD3"/>
    <w:rsid w:val="79B4320A"/>
    <w:rsid w:val="7C03636B"/>
    <w:rsid w:val="7C5D30EA"/>
    <w:rsid w:val="7CFF12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2018-09-21T02:01:00Z</dcterms:created>
  <dc:creator>北京乐普招投标-南区 </dc:creator>
  <cp:lastModifiedBy>Administrator</cp:lastModifiedBy>
  <dcterms:modified xsi:type="dcterms:W3CDTF">2021-09-22T08:47:34Z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39A2A34F9B1E467CB4AB555C54CA4BB4</vt:lpwstr>
  </property>
</Properties>
</file>